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8C6238" w14:textId="6F597B59" w:rsidR="006538A0" w:rsidRDefault="006538A0" w:rsidP="006538A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</w:rPr>
        <w:drawing>
          <wp:inline distT="0" distB="0" distL="0" distR="0" wp14:anchorId="7587658C" wp14:editId="14D4D9EE">
            <wp:extent cx="2153448" cy="920839"/>
            <wp:effectExtent l="0" t="0" r="5715" b="6350"/>
            <wp:docPr id="790721" name="Picture 1" descr="A logo of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721" name="Picture 1" descr="A logo of a company&#10;&#10;AI-generated content may be incorrect."/>
                    <pic:cNvPicPr/>
                  </pic:nvPicPr>
                  <pic:blipFill rotWithShape="1">
                    <a:blip r:embed="rId4"/>
                    <a:srcRect l="9380" t="19818" r="8626" b="27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6" cy="969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BCA517" w14:textId="2BC50638" w:rsidR="006538A0" w:rsidRPr="006538A0" w:rsidRDefault="006538A0" w:rsidP="006538A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6538A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Executive Brief:</w:t>
      </w:r>
    </w:p>
    <w:p w14:paraId="61164C41" w14:textId="77777777" w:rsidR="006538A0" w:rsidRPr="006538A0" w:rsidRDefault="006538A0" w:rsidP="006538A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6538A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Phibro Energy Case Study</w:t>
      </w:r>
    </w:p>
    <w:p w14:paraId="2F783ED8" w14:textId="77777777" w:rsidR="006538A0" w:rsidRPr="006538A0" w:rsidRDefault="006538A0" w:rsidP="006538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538A0">
        <w:rPr>
          <w:rFonts w:ascii="Times New Roman" w:eastAsia="Times New Roman" w:hAnsi="Times New Roman" w:cs="Times New Roman"/>
          <w:kern w:val="0"/>
          <w14:ligatures w14:val="none"/>
        </w:rPr>
        <w:t>An energy trading firm sought to introduce derivative instruments to large corporate fuel consumers at a time when “financial engineering” was viewed with suspicion. CFOs resisted adoption, market trust was low, and category legitimacy did not yet exist. This brief outlines the challenge, strategy, and results.</w:t>
      </w:r>
    </w:p>
    <w:p w14:paraId="330FA728" w14:textId="77777777" w:rsidR="006538A0" w:rsidRPr="006538A0" w:rsidRDefault="006C6E47" w:rsidP="006538A0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C6E47">
        <w:rPr>
          <w:rFonts w:ascii="Times New Roman" w:eastAsia="Times New Roman" w:hAnsi="Times New Roman" w:cs="Times New Roman"/>
          <w:noProof/>
          <w:kern w:val="0"/>
        </w:rPr>
        <w:pict w14:anchorId="5F60AAB5"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14:paraId="7A8C7654" w14:textId="60FF4808" w:rsidR="006538A0" w:rsidRPr="006538A0" w:rsidRDefault="006538A0" w:rsidP="006538A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27"/>
          <w:szCs w:val="27"/>
          <w14:ligatures w14:val="none"/>
        </w:rPr>
      </w:pPr>
      <w:r w:rsidRPr="006538A0"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27"/>
          <w:szCs w:val="27"/>
          <w14:ligatures w14:val="none"/>
        </w:rPr>
        <w:t xml:space="preserve">Client </w:t>
      </w:r>
      <w:r w:rsidRPr="006538A0"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27"/>
          <w:szCs w:val="27"/>
          <w14:ligatures w14:val="none"/>
        </w:rPr>
        <w:t>Company</w:t>
      </w:r>
    </w:p>
    <w:p w14:paraId="79A47BAF" w14:textId="77777777" w:rsidR="006538A0" w:rsidRPr="006538A0" w:rsidRDefault="006538A0" w:rsidP="006538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538A0">
        <w:rPr>
          <w:rFonts w:ascii="Times New Roman" w:eastAsia="Times New Roman" w:hAnsi="Times New Roman" w:cs="Times New Roman"/>
          <w:kern w:val="0"/>
          <w14:ligatures w14:val="none"/>
        </w:rPr>
        <w:t>Phibro Energy</w:t>
      </w:r>
    </w:p>
    <w:p w14:paraId="3629DC7D" w14:textId="77777777" w:rsidR="006538A0" w:rsidRPr="006538A0" w:rsidRDefault="006538A0" w:rsidP="006538A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6538A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Industry</w:t>
      </w:r>
    </w:p>
    <w:p w14:paraId="7EFC813F" w14:textId="77777777" w:rsidR="006538A0" w:rsidRPr="006538A0" w:rsidRDefault="006538A0" w:rsidP="006538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538A0">
        <w:rPr>
          <w:rFonts w:ascii="Times New Roman" w:eastAsia="Times New Roman" w:hAnsi="Times New Roman" w:cs="Times New Roman"/>
          <w:kern w:val="0"/>
          <w14:ligatures w14:val="none"/>
        </w:rPr>
        <w:t>Energy Trading &amp; Financial Risk Management</w:t>
      </w:r>
    </w:p>
    <w:p w14:paraId="37F745EC" w14:textId="77777777" w:rsidR="006538A0" w:rsidRPr="006538A0" w:rsidRDefault="006538A0" w:rsidP="006538A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6538A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Market Context</w:t>
      </w:r>
    </w:p>
    <w:p w14:paraId="24424847" w14:textId="77777777" w:rsidR="006538A0" w:rsidRPr="006538A0" w:rsidRDefault="006538A0" w:rsidP="006538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538A0">
        <w:rPr>
          <w:rFonts w:ascii="Times New Roman" w:eastAsia="Times New Roman" w:hAnsi="Times New Roman" w:cs="Times New Roman"/>
          <w:kern w:val="0"/>
          <w14:ligatures w14:val="none"/>
        </w:rPr>
        <w:t>Early 1990s, prior to mainstream adoption of energy derivatives</w:t>
      </w:r>
    </w:p>
    <w:p w14:paraId="1DDB8198" w14:textId="77777777" w:rsidR="006538A0" w:rsidRPr="006538A0" w:rsidRDefault="006538A0" w:rsidP="006538A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6538A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Core Barrier</w:t>
      </w:r>
    </w:p>
    <w:p w14:paraId="090767BC" w14:textId="77777777" w:rsidR="006538A0" w:rsidRPr="006538A0" w:rsidRDefault="006538A0" w:rsidP="006538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538A0">
        <w:rPr>
          <w:rFonts w:ascii="Times New Roman" w:eastAsia="Times New Roman" w:hAnsi="Times New Roman" w:cs="Times New Roman"/>
          <w:kern w:val="0"/>
          <w14:ligatures w14:val="none"/>
        </w:rPr>
        <w:t>CFO skepticism toward derivatives and perceived speculation</w:t>
      </w:r>
    </w:p>
    <w:p w14:paraId="7C233DA8" w14:textId="77777777" w:rsidR="006538A0" w:rsidRPr="006538A0" w:rsidRDefault="006538A0" w:rsidP="006538A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6538A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Objective</w:t>
      </w:r>
    </w:p>
    <w:p w14:paraId="6F01563B" w14:textId="77777777" w:rsidR="006538A0" w:rsidRPr="006538A0" w:rsidRDefault="006538A0" w:rsidP="006538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538A0">
        <w:rPr>
          <w:rFonts w:ascii="Times New Roman" w:eastAsia="Times New Roman" w:hAnsi="Times New Roman" w:cs="Times New Roman"/>
          <w:kern w:val="0"/>
          <w14:ligatures w14:val="none"/>
        </w:rPr>
        <w:t>Legitimize energy risk management as responsible balance-sheet protection</w:t>
      </w:r>
    </w:p>
    <w:p w14:paraId="21560D8C" w14:textId="77777777" w:rsidR="006538A0" w:rsidRPr="006538A0" w:rsidRDefault="006C6E47" w:rsidP="006538A0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C6E47">
        <w:rPr>
          <w:rFonts w:ascii="Times New Roman" w:eastAsia="Times New Roman" w:hAnsi="Times New Roman" w:cs="Times New Roman"/>
          <w:noProof/>
          <w:kern w:val="0"/>
        </w:rPr>
        <w:pict w14:anchorId="1A81CD21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7D526DED" w14:textId="77777777" w:rsidR="006538A0" w:rsidRPr="006538A0" w:rsidRDefault="006538A0" w:rsidP="006538A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36"/>
          <w:szCs w:val="36"/>
          <w14:ligatures w14:val="none"/>
        </w:rPr>
      </w:pPr>
      <w:r w:rsidRPr="006538A0"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36"/>
          <w:szCs w:val="36"/>
          <w14:ligatures w14:val="none"/>
        </w:rPr>
        <w:t>Challenge</w:t>
      </w:r>
    </w:p>
    <w:p w14:paraId="5E501488" w14:textId="1C06A00E" w:rsidR="006538A0" w:rsidRPr="006538A0" w:rsidRDefault="006538A0" w:rsidP="006538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538A0">
        <w:rPr>
          <w:rFonts w:ascii="Times New Roman" w:eastAsia="Times New Roman" w:hAnsi="Times New Roman" w:cs="Times New Roman"/>
          <w:kern w:val="0"/>
          <w14:ligatures w14:val="none"/>
        </w:rPr>
        <w:t>Large corporations with significant oil and gas exposure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6538A0">
        <w:rPr>
          <w:rFonts w:ascii="Times New Roman" w:eastAsia="Times New Roman" w:hAnsi="Times New Roman" w:cs="Times New Roman"/>
          <w:kern w:val="0"/>
          <w14:ligatures w14:val="none"/>
        </w:rPr>
        <w:t>—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6538A0">
        <w:rPr>
          <w:rFonts w:ascii="Times New Roman" w:eastAsia="Times New Roman" w:hAnsi="Times New Roman" w:cs="Times New Roman"/>
          <w:kern w:val="0"/>
          <w14:ligatures w14:val="none"/>
        </w:rPr>
        <w:t>airlines, trucking fleets, manufacturers, and global shippers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6538A0">
        <w:rPr>
          <w:rFonts w:ascii="Times New Roman" w:eastAsia="Times New Roman" w:hAnsi="Times New Roman" w:cs="Times New Roman"/>
          <w:kern w:val="0"/>
          <w14:ligatures w14:val="none"/>
        </w:rPr>
        <w:t>—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6538A0">
        <w:rPr>
          <w:rFonts w:ascii="Times New Roman" w:eastAsia="Times New Roman" w:hAnsi="Times New Roman" w:cs="Times New Roman"/>
          <w:kern w:val="0"/>
          <w14:ligatures w14:val="none"/>
        </w:rPr>
        <w:t>faced extreme fuel price volatility.</w:t>
      </w:r>
    </w:p>
    <w:p w14:paraId="413093ED" w14:textId="77777777" w:rsidR="006538A0" w:rsidRPr="006538A0" w:rsidRDefault="006538A0" w:rsidP="006538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538A0">
        <w:rPr>
          <w:rFonts w:ascii="Times New Roman" w:eastAsia="Times New Roman" w:hAnsi="Times New Roman" w:cs="Times New Roman"/>
          <w:kern w:val="0"/>
          <w14:ligatures w14:val="none"/>
        </w:rPr>
        <w:t>Phibro had developed hedging tools (swaps, caps, floors) to manage that risk.</w:t>
      </w:r>
    </w:p>
    <w:p w14:paraId="7FA7C1DC" w14:textId="77777777" w:rsidR="006538A0" w:rsidRPr="006538A0" w:rsidRDefault="006538A0" w:rsidP="006538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538A0">
        <w:rPr>
          <w:rFonts w:ascii="Times New Roman" w:eastAsia="Times New Roman" w:hAnsi="Times New Roman" w:cs="Times New Roman"/>
          <w:kern w:val="0"/>
          <w14:ligatures w14:val="none"/>
        </w:rPr>
        <w:t>The economics were sound.</w:t>
      </w:r>
      <w:r w:rsidRPr="006538A0">
        <w:rPr>
          <w:rFonts w:ascii="Times New Roman" w:eastAsia="Times New Roman" w:hAnsi="Times New Roman" w:cs="Times New Roman"/>
          <w:kern w:val="0"/>
          <w14:ligatures w14:val="none"/>
        </w:rPr>
        <w:br/>
        <w:t>The perception was not.</w:t>
      </w:r>
    </w:p>
    <w:p w14:paraId="61C52229" w14:textId="53F12D9F" w:rsidR="006538A0" w:rsidRPr="006538A0" w:rsidRDefault="006538A0" w:rsidP="006538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538A0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>Most CFOs viewed derivatives as speculative instruments created by traders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6538A0">
        <w:rPr>
          <w:rFonts w:ascii="Times New Roman" w:eastAsia="Times New Roman" w:hAnsi="Times New Roman" w:cs="Times New Roman"/>
          <w:kern w:val="0"/>
          <w14:ligatures w14:val="none"/>
        </w:rPr>
        <w:t>—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6538A0">
        <w:rPr>
          <w:rFonts w:ascii="Times New Roman" w:eastAsia="Times New Roman" w:hAnsi="Times New Roman" w:cs="Times New Roman"/>
          <w:kern w:val="0"/>
          <w14:ligatures w14:val="none"/>
        </w:rPr>
        <w:t>not prudent financial management tools. Traditional product marketing would have reinforced resistance rather than overcome it.</w:t>
      </w:r>
    </w:p>
    <w:p w14:paraId="62BC67DE" w14:textId="77777777" w:rsidR="006538A0" w:rsidRPr="006538A0" w:rsidRDefault="006C6E47" w:rsidP="006538A0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C6E47">
        <w:rPr>
          <w:rFonts w:ascii="Times New Roman" w:eastAsia="Times New Roman" w:hAnsi="Times New Roman" w:cs="Times New Roman"/>
          <w:noProof/>
          <w:kern w:val="0"/>
        </w:rPr>
        <w:pict w14:anchorId="00A729A2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70E99BD8" w14:textId="77777777" w:rsidR="006538A0" w:rsidRPr="006538A0" w:rsidRDefault="006538A0" w:rsidP="006538A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36"/>
          <w:szCs w:val="36"/>
          <w14:ligatures w14:val="none"/>
        </w:rPr>
      </w:pPr>
      <w:r w:rsidRPr="006538A0"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36"/>
          <w:szCs w:val="36"/>
          <w14:ligatures w14:val="none"/>
        </w:rPr>
        <w:t>Strategy</w:t>
      </w:r>
    </w:p>
    <w:p w14:paraId="4D0C9266" w14:textId="77777777" w:rsidR="006538A0" w:rsidRPr="006538A0" w:rsidRDefault="006538A0" w:rsidP="006538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538A0">
        <w:rPr>
          <w:rFonts w:ascii="Times New Roman" w:eastAsia="Times New Roman" w:hAnsi="Times New Roman" w:cs="Times New Roman"/>
          <w:kern w:val="0"/>
          <w14:ligatures w14:val="none"/>
        </w:rPr>
        <w:t>Adopt an integrated category-reframing campaign with four goals:</w:t>
      </w:r>
    </w:p>
    <w:p w14:paraId="7659204E" w14:textId="77777777" w:rsidR="006538A0" w:rsidRPr="006538A0" w:rsidRDefault="006538A0" w:rsidP="006538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538A0">
        <w:rPr>
          <w:rFonts w:ascii="Times New Roman" w:eastAsia="Times New Roman" w:hAnsi="Times New Roman" w:cs="Times New Roman"/>
          <w:kern w:val="0"/>
          <w14:ligatures w14:val="none"/>
        </w:rPr>
        <w:t>• Reposition derivatives as fiduciary responsibility</w:t>
      </w:r>
      <w:r w:rsidRPr="006538A0">
        <w:rPr>
          <w:rFonts w:ascii="Times New Roman" w:eastAsia="Times New Roman" w:hAnsi="Times New Roman" w:cs="Times New Roman"/>
          <w:kern w:val="0"/>
          <w14:ligatures w14:val="none"/>
        </w:rPr>
        <w:br/>
        <w:t>• Translate complexity into plain financial language</w:t>
      </w:r>
      <w:r w:rsidRPr="006538A0">
        <w:rPr>
          <w:rFonts w:ascii="Times New Roman" w:eastAsia="Times New Roman" w:hAnsi="Times New Roman" w:cs="Times New Roman"/>
          <w:kern w:val="0"/>
          <w14:ligatures w14:val="none"/>
        </w:rPr>
        <w:br/>
        <w:t>• Establish third-party credibility</w:t>
      </w:r>
      <w:r w:rsidRPr="006538A0">
        <w:rPr>
          <w:rFonts w:ascii="Times New Roman" w:eastAsia="Times New Roman" w:hAnsi="Times New Roman" w:cs="Times New Roman"/>
          <w:kern w:val="0"/>
          <w14:ligatures w14:val="none"/>
        </w:rPr>
        <w:br/>
        <w:t>• Enable consultative, diagnostic selling</w:t>
      </w:r>
    </w:p>
    <w:p w14:paraId="54393497" w14:textId="77777777" w:rsidR="006538A0" w:rsidRPr="006538A0" w:rsidRDefault="006C6E47" w:rsidP="006538A0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C6E47">
        <w:rPr>
          <w:rFonts w:ascii="Times New Roman" w:eastAsia="Times New Roman" w:hAnsi="Times New Roman" w:cs="Times New Roman"/>
          <w:noProof/>
          <w:kern w:val="0"/>
        </w:rPr>
        <w:pict w14:anchorId="27F4D9A2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31A36032" w14:textId="77777777" w:rsidR="006538A0" w:rsidRPr="006538A0" w:rsidRDefault="006538A0" w:rsidP="006538A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36"/>
          <w:szCs w:val="36"/>
          <w14:ligatures w14:val="none"/>
        </w:rPr>
      </w:pPr>
      <w:r w:rsidRPr="006538A0"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36"/>
          <w:szCs w:val="36"/>
          <w14:ligatures w14:val="none"/>
        </w:rPr>
        <w:t>Key Actions</w:t>
      </w:r>
    </w:p>
    <w:p w14:paraId="63AE21BF" w14:textId="77777777" w:rsidR="006538A0" w:rsidRPr="006538A0" w:rsidRDefault="006538A0" w:rsidP="006538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538A0">
        <w:rPr>
          <w:rFonts w:ascii="Times New Roman" w:eastAsia="Times New Roman" w:hAnsi="Times New Roman" w:cs="Times New Roman"/>
          <w:kern w:val="0"/>
          <w14:ligatures w14:val="none"/>
        </w:rPr>
        <w:t>• Hosted invitation-only CFO forum featuring Peter F. Drucker</w:t>
      </w:r>
    </w:p>
    <w:p w14:paraId="2A519672" w14:textId="77777777" w:rsidR="006538A0" w:rsidRPr="006538A0" w:rsidRDefault="006538A0" w:rsidP="006538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538A0">
        <w:rPr>
          <w:rFonts w:ascii="Times New Roman" w:eastAsia="Times New Roman" w:hAnsi="Times New Roman" w:cs="Times New Roman"/>
          <w:kern w:val="0"/>
          <w14:ligatures w14:val="none"/>
        </w:rPr>
        <w:t>• Positioned event as educational, not promotional</w:t>
      </w:r>
    </w:p>
    <w:p w14:paraId="17056923" w14:textId="77777777" w:rsidR="006538A0" w:rsidRPr="006538A0" w:rsidRDefault="006538A0" w:rsidP="006538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538A0">
        <w:rPr>
          <w:rFonts w:ascii="Times New Roman" w:eastAsia="Times New Roman" w:hAnsi="Times New Roman" w:cs="Times New Roman"/>
          <w:kern w:val="0"/>
          <w14:ligatures w14:val="none"/>
        </w:rPr>
        <w:t>• Reprinted Drucker’s remarks and distributed to thousands of CFOs</w:t>
      </w:r>
    </w:p>
    <w:p w14:paraId="459F0F66" w14:textId="77777777" w:rsidR="006538A0" w:rsidRPr="006538A0" w:rsidRDefault="006538A0" w:rsidP="006538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538A0">
        <w:rPr>
          <w:rFonts w:ascii="Times New Roman" w:eastAsia="Times New Roman" w:hAnsi="Times New Roman" w:cs="Times New Roman"/>
          <w:kern w:val="0"/>
          <w14:ligatures w14:val="none"/>
        </w:rPr>
        <w:t xml:space="preserve">• Produced plain-language booklet: </w:t>
      </w:r>
      <w:r w:rsidRPr="006538A0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An Overview of Energy Risk Management</w:t>
      </w:r>
    </w:p>
    <w:p w14:paraId="021E91ED" w14:textId="77777777" w:rsidR="006538A0" w:rsidRPr="006538A0" w:rsidRDefault="006538A0" w:rsidP="006538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538A0">
        <w:rPr>
          <w:rFonts w:ascii="Times New Roman" w:eastAsia="Times New Roman" w:hAnsi="Times New Roman" w:cs="Times New Roman"/>
          <w:kern w:val="0"/>
          <w14:ligatures w14:val="none"/>
        </w:rPr>
        <w:t>• Secured coverage in The Wall Street Journal and major business press</w:t>
      </w:r>
    </w:p>
    <w:p w14:paraId="69D0EAB7" w14:textId="77777777" w:rsidR="006538A0" w:rsidRPr="006538A0" w:rsidRDefault="006538A0" w:rsidP="006538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538A0">
        <w:rPr>
          <w:rFonts w:ascii="Times New Roman" w:eastAsia="Times New Roman" w:hAnsi="Times New Roman" w:cs="Times New Roman"/>
          <w:kern w:val="0"/>
          <w14:ligatures w14:val="none"/>
        </w:rPr>
        <w:t>• Launched explanatory print advertising using familiar financial analogies</w:t>
      </w:r>
    </w:p>
    <w:p w14:paraId="0EC9627A" w14:textId="77777777" w:rsidR="006538A0" w:rsidRPr="006538A0" w:rsidRDefault="006538A0" w:rsidP="006538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538A0">
        <w:rPr>
          <w:rFonts w:ascii="Times New Roman" w:eastAsia="Times New Roman" w:hAnsi="Times New Roman" w:cs="Times New Roman"/>
          <w:kern w:val="0"/>
          <w14:ligatures w14:val="none"/>
        </w:rPr>
        <w:t>• Equipped sales force with proprietary diagnostic worksheet calculating company-specific fuel exposure</w:t>
      </w:r>
    </w:p>
    <w:p w14:paraId="5ED38D54" w14:textId="77777777" w:rsidR="006538A0" w:rsidRPr="006538A0" w:rsidRDefault="006C6E47" w:rsidP="006538A0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C6E47">
        <w:rPr>
          <w:rFonts w:ascii="Times New Roman" w:eastAsia="Times New Roman" w:hAnsi="Times New Roman" w:cs="Times New Roman"/>
          <w:noProof/>
          <w:kern w:val="0"/>
        </w:rPr>
        <w:pict w14:anchorId="774DF504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74E1B364" w14:textId="77777777" w:rsidR="006538A0" w:rsidRPr="006538A0" w:rsidRDefault="006538A0" w:rsidP="006538A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36"/>
          <w:szCs w:val="36"/>
          <w14:ligatures w14:val="none"/>
        </w:rPr>
      </w:pPr>
      <w:r w:rsidRPr="006538A0"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36"/>
          <w:szCs w:val="36"/>
          <w14:ligatures w14:val="none"/>
        </w:rPr>
        <w:t>Results</w:t>
      </w:r>
    </w:p>
    <w:p w14:paraId="11AC0867" w14:textId="77777777" w:rsidR="006538A0" w:rsidRPr="006538A0" w:rsidRDefault="006538A0" w:rsidP="006538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538A0">
        <w:rPr>
          <w:rFonts w:ascii="Times New Roman" w:eastAsia="Times New Roman" w:hAnsi="Times New Roman" w:cs="Times New Roman"/>
          <w:kern w:val="0"/>
          <w14:ligatures w14:val="none"/>
        </w:rPr>
        <w:t>• Hundreds of millions of dollars in energy risk management contracts</w:t>
      </w:r>
    </w:p>
    <w:p w14:paraId="0FCB21AD" w14:textId="77777777" w:rsidR="006538A0" w:rsidRPr="006538A0" w:rsidRDefault="006538A0" w:rsidP="006538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538A0">
        <w:rPr>
          <w:rFonts w:ascii="Times New Roman" w:eastAsia="Times New Roman" w:hAnsi="Times New Roman" w:cs="Times New Roman"/>
          <w:kern w:val="0"/>
          <w14:ligatures w14:val="none"/>
        </w:rPr>
        <w:t>• Rapid adoption among major corporate energy consumers</w:t>
      </w:r>
    </w:p>
    <w:p w14:paraId="7ED79D8B" w14:textId="248D424A" w:rsidR="006538A0" w:rsidRPr="006538A0" w:rsidRDefault="006538A0" w:rsidP="006538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538A0">
        <w:rPr>
          <w:rFonts w:ascii="Times New Roman" w:eastAsia="Times New Roman" w:hAnsi="Times New Roman" w:cs="Times New Roman"/>
          <w:kern w:val="0"/>
          <w14:ligatures w14:val="none"/>
        </w:rPr>
        <w:t xml:space="preserve">• Energy derivatives normalized as </w:t>
      </w:r>
      <w:r w:rsidR="001B434F">
        <w:rPr>
          <w:rFonts w:ascii="Times New Roman" w:eastAsia="Times New Roman" w:hAnsi="Times New Roman" w:cs="Times New Roman"/>
          <w:kern w:val="0"/>
          <w14:ligatures w14:val="none"/>
        </w:rPr>
        <w:t xml:space="preserve">an </w:t>
      </w:r>
      <w:r w:rsidRPr="006538A0">
        <w:rPr>
          <w:rFonts w:ascii="Times New Roman" w:eastAsia="Times New Roman" w:hAnsi="Times New Roman" w:cs="Times New Roman"/>
          <w:kern w:val="0"/>
          <w14:ligatures w14:val="none"/>
        </w:rPr>
        <w:t>executive financial practice</w:t>
      </w:r>
    </w:p>
    <w:p w14:paraId="30C3EA70" w14:textId="77777777" w:rsidR="006538A0" w:rsidRPr="006538A0" w:rsidRDefault="006538A0" w:rsidP="006538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538A0">
        <w:rPr>
          <w:rFonts w:ascii="Times New Roman" w:eastAsia="Times New Roman" w:hAnsi="Times New Roman" w:cs="Times New Roman"/>
          <w:kern w:val="0"/>
          <w14:ligatures w14:val="none"/>
        </w:rPr>
        <w:t>• Sustained market leadership for Phibro</w:t>
      </w:r>
    </w:p>
    <w:p w14:paraId="670597C9" w14:textId="77777777" w:rsidR="006538A0" w:rsidRPr="006538A0" w:rsidRDefault="006C6E47" w:rsidP="006538A0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C6E47">
        <w:rPr>
          <w:rFonts w:ascii="Times New Roman" w:eastAsia="Times New Roman" w:hAnsi="Times New Roman" w:cs="Times New Roman"/>
          <w:noProof/>
          <w:kern w:val="0"/>
        </w:rPr>
        <w:pict w14:anchorId="04BD85A4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69712736" w14:textId="77777777" w:rsidR="006538A0" w:rsidRDefault="006538A0" w:rsidP="006538A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</w:p>
    <w:p w14:paraId="5C9CF6B3" w14:textId="4536FC12" w:rsidR="006538A0" w:rsidRPr="006538A0" w:rsidRDefault="006538A0" w:rsidP="006538A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6538A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lastRenderedPageBreak/>
        <w:t>Lessons Learned</w:t>
      </w:r>
    </w:p>
    <w:p w14:paraId="0CB11476" w14:textId="77777777" w:rsidR="006538A0" w:rsidRPr="006538A0" w:rsidRDefault="006538A0" w:rsidP="006538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538A0">
        <w:rPr>
          <w:rFonts w:ascii="Times New Roman" w:eastAsia="Times New Roman" w:hAnsi="Times New Roman" w:cs="Times New Roman"/>
          <w:kern w:val="0"/>
          <w14:ligatures w14:val="none"/>
        </w:rPr>
        <w:t>• Credibility precedes persuasion</w:t>
      </w:r>
    </w:p>
    <w:p w14:paraId="006AA7C5" w14:textId="77777777" w:rsidR="006538A0" w:rsidRPr="006538A0" w:rsidRDefault="006538A0" w:rsidP="006538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538A0">
        <w:rPr>
          <w:rFonts w:ascii="Times New Roman" w:eastAsia="Times New Roman" w:hAnsi="Times New Roman" w:cs="Times New Roman"/>
          <w:kern w:val="0"/>
          <w14:ligatures w14:val="none"/>
        </w:rPr>
        <w:t>• Categories must be framed before they can be sold</w:t>
      </w:r>
    </w:p>
    <w:p w14:paraId="16B2ED30" w14:textId="77777777" w:rsidR="006538A0" w:rsidRPr="006538A0" w:rsidRDefault="006538A0" w:rsidP="006538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538A0">
        <w:rPr>
          <w:rFonts w:ascii="Times New Roman" w:eastAsia="Times New Roman" w:hAnsi="Times New Roman" w:cs="Times New Roman"/>
          <w:kern w:val="0"/>
          <w14:ligatures w14:val="none"/>
        </w:rPr>
        <w:t>• Third-party authority accelerates trust</w:t>
      </w:r>
    </w:p>
    <w:p w14:paraId="6941FBE4" w14:textId="77777777" w:rsidR="006538A0" w:rsidRPr="006538A0" w:rsidRDefault="006538A0" w:rsidP="006538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538A0">
        <w:rPr>
          <w:rFonts w:ascii="Times New Roman" w:eastAsia="Times New Roman" w:hAnsi="Times New Roman" w:cs="Times New Roman"/>
          <w:kern w:val="0"/>
          <w14:ligatures w14:val="none"/>
        </w:rPr>
        <w:t>• Education reduces perceived risk</w:t>
      </w:r>
    </w:p>
    <w:p w14:paraId="23693AAD" w14:textId="77777777" w:rsidR="006538A0" w:rsidRDefault="006538A0" w:rsidP="006538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538A0">
        <w:rPr>
          <w:rFonts w:ascii="Times New Roman" w:eastAsia="Times New Roman" w:hAnsi="Times New Roman" w:cs="Times New Roman"/>
          <w:kern w:val="0"/>
          <w14:ligatures w14:val="none"/>
        </w:rPr>
        <w:t>• Consultative selling outperforms product pitching</w:t>
      </w:r>
    </w:p>
    <w:p w14:paraId="6E64FED3" w14:textId="77777777" w:rsidR="006538A0" w:rsidRPr="006538A0" w:rsidRDefault="006538A0" w:rsidP="006538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C520A74" w14:textId="7E753462" w:rsidR="00C477C0" w:rsidRDefault="006538A0" w:rsidP="006538A0">
      <w:r>
        <w:rPr>
          <w:noProof/>
        </w:rPr>
        <w:drawing>
          <wp:inline distT="0" distB="0" distL="0" distR="0" wp14:anchorId="716785A4" wp14:editId="6670119D">
            <wp:extent cx="5943600" cy="3346450"/>
            <wp:effectExtent l="0" t="0" r="0" b="6350"/>
            <wp:docPr id="523622595" name="Picture 2" descr="Several pages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622595" name="Picture 2" descr="Several pages of a book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77C0" w:rsidSect="006538A0">
      <w:pgSz w:w="12240" w:h="15840"/>
      <w:pgMar w:top="612" w:right="1440" w:bottom="85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8A0"/>
    <w:rsid w:val="00031FED"/>
    <w:rsid w:val="001B434F"/>
    <w:rsid w:val="002114CA"/>
    <w:rsid w:val="00296ADA"/>
    <w:rsid w:val="0043738C"/>
    <w:rsid w:val="006538A0"/>
    <w:rsid w:val="006C6E47"/>
    <w:rsid w:val="00A93668"/>
    <w:rsid w:val="00C200E0"/>
    <w:rsid w:val="00C477C0"/>
    <w:rsid w:val="00F358D9"/>
    <w:rsid w:val="00F62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3FF37"/>
  <w15:chartTrackingRefBased/>
  <w15:docId w15:val="{111AF60D-9217-3B40-A9F7-A6C8522B6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38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38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538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38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38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38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38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38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38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38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538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538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38A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38A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38A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38A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38A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38A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538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38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38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538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538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538A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538A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538A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38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38A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538A0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65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Emphasis">
    <w:name w:val="Emphasis"/>
    <w:basedOn w:val="DefaultParagraphFont"/>
    <w:uiPriority w:val="20"/>
    <w:qFormat/>
    <w:rsid w:val="006538A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364</Words>
  <Characters>2076</Characters>
  <Application>Microsoft Office Word</Application>
  <DocSecurity>0</DocSecurity>
  <Lines>17</Lines>
  <Paragraphs>4</Paragraphs>
  <ScaleCrop>false</ScaleCrop>
  <Company/>
  <LinksUpToDate>false</LinksUpToDate>
  <CharactersWithSpaces>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Gordon Andrew</dc:creator>
  <cp:keywords/>
  <dc:description/>
  <cp:lastModifiedBy>Gordon Andrew</cp:lastModifiedBy>
  <cp:revision>2</cp:revision>
  <dcterms:created xsi:type="dcterms:W3CDTF">2026-02-15T21:36:00Z</dcterms:created>
  <dcterms:modified xsi:type="dcterms:W3CDTF">2026-02-15T21:42:00Z</dcterms:modified>
</cp:coreProperties>
</file>